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26" w:rsidRPr="00201326" w:rsidRDefault="00201326" w:rsidP="0020132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0132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Расчетный листок о зарплате может быть и в электронном виде</w:t>
      </w:r>
    </w:p>
    <w:p w:rsidR="00201326" w:rsidRPr="00201326" w:rsidRDefault="00201326" w:rsidP="0020132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326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Минтруда России считают, что работодатель может направить расчетный листок о заработной плате на электронную почту работника.</w:t>
      </w:r>
    </w:p>
    <w:p w:rsidR="00201326" w:rsidRPr="00201326" w:rsidRDefault="00201326" w:rsidP="0020132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326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Трудовой кодекс обязывает работодателя при выплате заработной платы извещать в письменной форме каждого работника:</w:t>
      </w:r>
    </w:p>
    <w:p w:rsidR="00201326" w:rsidRPr="00201326" w:rsidRDefault="00201326" w:rsidP="0020132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326">
        <w:rPr>
          <w:rFonts w:ascii="Times New Roman" w:eastAsia="Times New Roman" w:hAnsi="Times New Roman" w:cs="Times New Roman"/>
          <w:color w:val="333333"/>
          <w:sz w:val="24"/>
          <w:szCs w:val="24"/>
        </w:rPr>
        <w:t>— о составных частях заработной платы, причитающейся ему за соответствующий период;</w:t>
      </w:r>
    </w:p>
    <w:p w:rsidR="00201326" w:rsidRPr="00201326" w:rsidRDefault="00201326" w:rsidP="0020132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326">
        <w:rPr>
          <w:rFonts w:ascii="Times New Roman" w:eastAsia="Times New Roman" w:hAnsi="Times New Roman" w:cs="Times New Roman"/>
          <w:color w:val="333333"/>
          <w:sz w:val="24"/>
          <w:szCs w:val="24"/>
        </w:rPr>
        <w:t>—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201326" w:rsidRPr="00201326" w:rsidRDefault="00201326" w:rsidP="0020132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326">
        <w:rPr>
          <w:rFonts w:ascii="Times New Roman" w:eastAsia="Times New Roman" w:hAnsi="Times New Roman" w:cs="Times New Roman"/>
          <w:color w:val="333333"/>
          <w:sz w:val="24"/>
          <w:szCs w:val="24"/>
        </w:rPr>
        <w:t>— о размерах и об основаниях произведенных удержаний;</w:t>
      </w:r>
    </w:p>
    <w:p w:rsidR="00201326" w:rsidRPr="00201326" w:rsidRDefault="00201326" w:rsidP="0020132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326">
        <w:rPr>
          <w:rFonts w:ascii="Times New Roman" w:eastAsia="Times New Roman" w:hAnsi="Times New Roman" w:cs="Times New Roman"/>
          <w:color w:val="333333"/>
          <w:sz w:val="24"/>
          <w:szCs w:val="24"/>
        </w:rPr>
        <w:t>— об общей денежной сумме, подлежащей выплате.</w:t>
      </w:r>
    </w:p>
    <w:p w:rsidR="00201326" w:rsidRPr="00201326" w:rsidRDefault="00201326" w:rsidP="0020132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326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требования содержатся в ст. 136 ТК РФ. Целью выдачи расчетного листка является информирование работника о том, из чего складывается его очередная заработная плата. Форма расчетного листка утверждается работодателем (п. 2 ст. 136 ТК РФ).</w:t>
      </w:r>
    </w:p>
    <w:p w:rsidR="00201326" w:rsidRPr="00201326" w:rsidRDefault="00201326" w:rsidP="0020132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1326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21.02.2017 № 14-1/ООГ специалисты Минтруда России отметили, что Трудовой кодекс не регламентирует порядок извещения работника о составных частях заработной платы. Поэтому если в трудовом договоре (коллективном договоре, локальном нормативном акте) предусмотрен порядок извещения работника о составных частях заработной платы (расчетный листок) посредством электронной почты, то данный порядок не нарушает положения ст. 136 ТК РФ.</w:t>
      </w:r>
    </w:p>
    <w:p w:rsidR="001E187C" w:rsidRDefault="001E187C"/>
    <w:sectPr w:rsidR="001E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326"/>
    <w:rsid w:val="001E187C"/>
    <w:rsid w:val="0020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2017-05-26T06:09:00Z</dcterms:created>
  <dcterms:modified xsi:type="dcterms:W3CDTF">2017-05-26T06:09:00Z</dcterms:modified>
</cp:coreProperties>
</file>